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915" w:rsidRDefault="001A1915" w:rsidP="00296F76">
      <w:pPr>
        <w:ind w:left="567" w:hanging="567"/>
        <w:rPr>
          <w:lang w:val="en-US"/>
        </w:rPr>
      </w:pPr>
      <w:r>
        <w:rPr>
          <w:lang w:val="en-US"/>
        </w:rPr>
        <w:t>A list of abbreviations used should be added at the end.</w:t>
      </w:r>
    </w:p>
    <w:p w:rsidR="001A1915" w:rsidRDefault="001A1915" w:rsidP="00296F76">
      <w:pPr>
        <w:ind w:left="567" w:hanging="567"/>
        <w:rPr>
          <w:lang w:val="en-US"/>
        </w:rPr>
      </w:pPr>
    </w:p>
    <w:p w:rsidR="001A1915" w:rsidRDefault="001A1915" w:rsidP="00296F76">
      <w:pPr>
        <w:ind w:left="567" w:hanging="567"/>
        <w:rPr>
          <w:lang w:val="en-US"/>
        </w:rPr>
      </w:pPr>
      <w:r w:rsidRPr="00296F76">
        <w:rPr>
          <w:lang w:val="en-US"/>
        </w:rPr>
        <w:t xml:space="preserve">2.19: </w:t>
      </w:r>
      <w:r>
        <w:rPr>
          <w:lang w:val="en-US"/>
        </w:rPr>
        <w:t>P</w:t>
      </w:r>
      <w:r w:rsidRPr="00296F76">
        <w:rPr>
          <w:lang w:val="en-US"/>
        </w:rPr>
        <w:t>ipeline transport is listed as energy industry.</w:t>
      </w:r>
      <w:r>
        <w:rPr>
          <w:lang w:val="en-US"/>
        </w:rPr>
        <w:t xml:space="preserve"> This is in contradiction with Table 5.1 where pipeline transport is not mentioned and paragraph 5.87 were pipeline transport is described as part of transport sector.</w:t>
      </w:r>
    </w:p>
    <w:p w:rsidR="001A1915" w:rsidRDefault="001A1915" w:rsidP="00296F76">
      <w:pPr>
        <w:ind w:left="567" w:hanging="567"/>
        <w:rPr>
          <w:lang w:val="en-US"/>
        </w:rPr>
      </w:pPr>
    </w:p>
    <w:p w:rsidR="001A1915" w:rsidRDefault="001A1915" w:rsidP="00296F76">
      <w:pPr>
        <w:ind w:left="567" w:hanging="567"/>
        <w:rPr>
          <w:lang w:val="en-US"/>
        </w:rPr>
      </w:pPr>
      <w:r>
        <w:rPr>
          <w:lang w:val="en-US"/>
        </w:rPr>
        <w:t>2.22: “(including households)” should be changed to “(including households as private consumers)”</w:t>
      </w:r>
    </w:p>
    <w:p w:rsidR="001A1915" w:rsidRDefault="001A1915" w:rsidP="00296F76">
      <w:pPr>
        <w:ind w:left="567" w:hanging="567"/>
        <w:rPr>
          <w:lang w:val="en-US"/>
        </w:rPr>
      </w:pPr>
    </w:p>
    <w:p w:rsidR="001A1915" w:rsidRDefault="001A1915" w:rsidP="00296F76">
      <w:pPr>
        <w:ind w:left="567" w:hanging="567"/>
        <w:rPr>
          <w:lang w:val="en-US"/>
        </w:rPr>
      </w:pPr>
      <w:r>
        <w:rPr>
          <w:lang w:val="en-US"/>
        </w:rPr>
        <w:t>3.9 b: “</w:t>
      </w:r>
      <w:r w:rsidRPr="007C51AD">
        <w:rPr>
          <w:i/>
          <w:lang w:val="en-US"/>
        </w:rPr>
        <w:t>electricity</w:t>
      </w:r>
      <w:r w:rsidRPr="007C51AD">
        <w:rPr>
          <w:lang w:val="en-US"/>
        </w:rPr>
        <w:t xml:space="preserve"> and </w:t>
      </w:r>
      <w:r w:rsidRPr="007C51AD">
        <w:rPr>
          <w:i/>
          <w:lang w:val="en-US"/>
        </w:rPr>
        <w:t>heat</w:t>
      </w:r>
      <w:r w:rsidRPr="007C51AD">
        <w:rPr>
          <w:lang w:val="en-US"/>
        </w:rPr>
        <w:t xml:space="preserve"> that are produced/generated by</w:t>
      </w:r>
      <w:r>
        <w:rPr>
          <w:lang w:val="en-US"/>
        </w:rPr>
        <w:t>” should be changed to “all electricity changed and heat generated and sold to third parties by” (see also paragraph 5.69).</w:t>
      </w:r>
    </w:p>
    <w:p w:rsidR="001A1915" w:rsidRDefault="001A1915" w:rsidP="00296F76">
      <w:pPr>
        <w:ind w:left="567" w:hanging="567"/>
        <w:rPr>
          <w:lang w:val="en-US"/>
        </w:rPr>
      </w:pPr>
    </w:p>
    <w:p w:rsidR="001A1915" w:rsidRDefault="001A1915" w:rsidP="00296F76">
      <w:pPr>
        <w:ind w:left="567" w:hanging="567"/>
        <w:rPr>
          <w:lang w:val="en-US"/>
        </w:rPr>
      </w:pPr>
      <w:r>
        <w:rPr>
          <w:lang w:val="en-US"/>
        </w:rPr>
        <w:t xml:space="preserve">3.10: Peat should be included into footnote 1 </w:t>
      </w:r>
    </w:p>
    <w:p w:rsidR="001A1915" w:rsidRDefault="001A1915" w:rsidP="00296F76">
      <w:pPr>
        <w:ind w:left="567" w:hanging="567"/>
        <w:rPr>
          <w:lang w:val="en-US"/>
        </w:rPr>
      </w:pPr>
    </w:p>
    <w:p w:rsidR="001A1915" w:rsidRDefault="001A1915" w:rsidP="007806A2">
      <w:pPr>
        <w:pStyle w:val="ch3"/>
        <w:numPr>
          <w:ilvl w:val="0"/>
          <w:numId w:val="0"/>
        </w:numPr>
      </w:pPr>
      <w:r>
        <w:t xml:space="preserve">Table 3.1 SIEC: </w:t>
      </w:r>
    </w:p>
    <w:p w:rsidR="001A1915" w:rsidRDefault="001A1915" w:rsidP="007806A2">
      <w:pPr>
        <w:pStyle w:val="ch3"/>
        <w:numPr>
          <w:ilvl w:val="0"/>
          <w:numId w:val="0"/>
        </w:numPr>
        <w:ind w:left="567"/>
        <w:rPr>
          <w:sz w:val="20"/>
          <w:szCs w:val="20"/>
        </w:rPr>
      </w:pPr>
      <w:r>
        <w:t>“</w:t>
      </w:r>
      <w:r w:rsidRPr="002274A1">
        <w:rPr>
          <w:sz w:val="20"/>
          <w:szCs w:val="20"/>
        </w:rPr>
        <w:t xml:space="preserve">Note: </w:t>
      </w:r>
      <w:r>
        <w:rPr>
          <w:sz w:val="20"/>
          <w:szCs w:val="20"/>
        </w:rPr>
        <w:t xml:space="preserve">“Coal Products” refers to the products derived from hard Coal and Brown Coal.  “Peat products” refers to products derived from Peat. “Oil products” refers to derived products.” </w:t>
      </w:r>
      <w:r w:rsidRPr="007806A2">
        <w:rPr>
          <w:rFonts w:ascii="Arial" w:hAnsi="Arial" w:cs="Arial"/>
          <w:sz w:val="22"/>
          <w:szCs w:val="22"/>
        </w:rPr>
        <w:t>should be changed</w:t>
      </w:r>
      <w:r>
        <w:rPr>
          <w:sz w:val="20"/>
          <w:szCs w:val="20"/>
        </w:rPr>
        <w:t xml:space="preserve"> </w:t>
      </w:r>
      <w:r w:rsidRPr="007806A2">
        <w:rPr>
          <w:rFonts w:ascii="Arial" w:hAnsi="Arial" w:cs="Arial"/>
          <w:sz w:val="22"/>
          <w:szCs w:val="22"/>
        </w:rPr>
        <w:t>to</w:t>
      </w:r>
      <w:r>
        <w:rPr>
          <w:sz w:val="20"/>
          <w:szCs w:val="20"/>
        </w:rPr>
        <w:t xml:space="preserve"> “</w:t>
      </w:r>
      <w:r w:rsidRPr="002274A1">
        <w:rPr>
          <w:sz w:val="20"/>
          <w:szCs w:val="20"/>
        </w:rPr>
        <w:t xml:space="preserve">Note: </w:t>
      </w:r>
      <w:r>
        <w:rPr>
          <w:sz w:val="20"/>
          <w:szCs w:val="20"/>
        </w:rPr>
        <w:t xml:space="preserve">“Coal Products” refers to the products derived from hard Coal and Brown Coal.  “Peat products” refers to products derived from Peat. “Oil products” refers to products derived from oil. </w:t>
      </w:r>
    </w:p>
    <w:p w:rsidR="001A1915" w:rsidRDefault="001A1915" w:rsidP="007806A2">
      <w:pPr>
        <w:pStyle w:val="ch3"/>
        <w:numPr>
          <w:ilvl w:val="0"/>
          <w:numId w:val="0"/>
        </w:numPr>
        <w:ind w:left="567"/>
        <w:rPr>
          <w:sz w:val="20"/>
          <w:szCs w:val="20"/>
        </w:rPr>
      </w:pPr>
      <w:r>
        <w:rPr>
          <w:sz w:val="20"/>
          <w:szCs w:val="20"/>
        </w:rPr>
        <w:t xml:space="preserve">4.2.2 –Municipal waste </w:t>
      </w:r>
      <w:r w:rsidRPr="007806A2">
        <w:rPr>
          <w:rFonts w:ascii="Arial" w:hAnsi="Arial" w:cs="Arial"/>
          <w:sz w:val="22"/>
          <w:szCs w:val="22"/>
        </w:rPr>
        <w:t>should be split into</w:t>
      </w:r>
    </w:p>
    <w:p w:rsidR="001A1915" w:rsidRPr="002A16FB" w:rsidRDefault="001A1915" w:rsidP="007806A2">
      <w:pPr>
        <w:pStyle w:val="ch3"/>
        <w:numPr>
          <w:ilvl w:val="0"/>
          <w:numId w:val="0"/>
        </w:numPr>
        <w:ind w:left="567"/>
        <w:rPr>
          <w:sz w:val="20"/>
          <w:szCs w:val="20"/>
          <w:lang w:val="fr-FR"/>
        </w:rPr>
      </w:pPr>
      <w:r>
        <w:rPr>
          <w:sz w:val="20"/>
          <w:szCs w:val="20"/>
        </w:rPr>
        <w:tab/>
      </w:r>
      <w:r>
        <w:rPr>
          <w:sz w:val="20"/>
          <w:szCs w:val="20"/>
        </w:rPr>
        <w:tab/>
      </w:r>
      <w:r w:rsidRPr="002A16FB">
        <w:rPr>
          <w:sz w:val="20"/>
          <w:szCs w:val="20"/>
          <w:lang w:val="fr-FR"/>
        </w:rPr>
        <w:t>4.2.2.1. Municipal waste renewable fraction</w:t>
      </w:r>
    </w:p>
    <w:p w:rsidR="001A1915" w:rsidRPr="007806A2" w:rsidRDefault="001A1915" w:rsidP="007806A2">
      <w:pPr>
        <w:pStyle w:val="ch3"/>
        <w:numPr>
          <w:ilvl w:val="0"/>
          <w:numId w:val="0"/>
        </w:numPr>
        <w:ind w:left="567"/>
        <w:rPr>
          <w:sz w:val="20"/>
          <w:szCs w:val="20"/>
          <w:lang w:val="fr-FR"/>
        </w:rPr>
      </w:pPr>
      <w:r w:rsidRPr="002A16FB">
        <w:rPr>
          <w:sz w:val="20"/>
          <w:szCs w:val="20"/>
          <w:lang w:val="fr-FR"/>
        </w:rPr>
        <w:tab/>
      </w:r>
      <w:r w:rsidRPr="002A16FB">
        <w:rPr>
          <w:sz w:val="20"/>
          <w:szCs w:val="20"/>
          <w:lang w:val="fr-FR"/>
        </w:rPr>
        <w:tab/>
      </w:r>
      <w:r w:rsidRPr="007806A2">
        <w:rPr>
          <w:sz w:val="20"/>
          <w:szCs w:val="20"/>
          <w:lang w:val="fr-FR"/>
        </w:rPr>
        <w:t>4.2.2.2. Municipal waste non renewable fraction</w:t>
      </w:r>
    </w:p>
    <w:p w:rsidR="001A1915" w:rsidRPr="00A40F89" w:rsidRDefault="001A1915" w:rsidP="00296F76">
      <w:pPr>
        <w:ind w:left="567" w:hanging="567"/>
        <w:rPr>
          <w:lang w:val="en-US"/>
        </w:rPr>
      </w:pPr>
      <w:r>
        <w:rPr>
          <w:lang w:val="fr-FR"/>
        </w:rPr>
        <w:tab/>
      </w:r>
      <w:r w:rsidRPr="00A40F89">
        <w:rPr>
          <w:lang w:val="en-US"/>
        </w:rPr>
        <w:t>like it is mentioned in 3.110.</w:t>
      </w:r>
    </w:p>
    <w:p w:rsidR="001A1915" w:rsidRDefault="001A1915" w:rsidP="00296F76">
      <w:pPr>
        <w:ind w:left="567" w:hanging="567"/>
        <w:rPr>
          <w:lang w:val="en-US"/>
        </w:rPr>
      </w:pPr>
    </w:p>
    <w:p w:rsidR="001A1915" w:rsidRDefault="001A1915" w:rsidP="00296F76">
      <w:pPr>
        <w:ind w:left="567" w:hanging="567"/>
        <w:rPr>
          <w:lang w:val="en-US"/>
        </w:rPr>
      </w:pPr>
      <w:r>
        <w:rPr>
          <w:lang w:val="en-US"/>
        </w:rPr>
        <w:t>4.41; “they” should be replaced by “flow specific calorific values” if I interpret the previous paragraphs right.</w:t>
      </w:r>
    </w:p>
    <w:p w:rsidR="001A1915" w:rsidRDefault="001A1915" w:rsidP="00296F76">
      <w:pPr>
        <w:ind w:left="567" w:hanging="567"/>
        <w:rPr>
          <w:lang w:val="en-US"/>
        </w:rPr>
      </w:pPr>
    </w:p>
    <w:p w:rsidR="001A1915" w:rsidRPr="00C47472" w:rsidRDefault="001A1915" w:rsidP="000D1EFF">
      <w:pPr>
        <w:pStyle w:val="Caption"/>
        <w:jc w:val="left"/>
      </w:pPr>
      <w:bookmarkStart w:id="0" w:name="_Ref263954329"/>
      <w:bookmarkStart w:id="1" w:name="_Toc263954544"/>
      <w:bookmarkStart w:id="2" w:name="_Toc263954654"/>
      <w:bookmarkStart w:id="3" w:name="_Toc263954678"/>
      <w:bookmarkStart w:id="4" w:name="_Toc264017852"/>
      <w:bookmarkStart w:id="5" w:name="_Toc264041564"/>
      <w:r>
        <w:t xml:space="preserve">Table </w:t>
      </w:r>
      <w:fldSimple w:instr=" STYLEREF 1 \s ">
        <w:r>
          <w:rPr>
            <w:noProof/>
          </w:rPr>
          <w:t>4</w:t>
        </w:r>
      </w:fldSimple>
      <w:r>
        <w:t>.</w:t>
      </w:r>
      <w:fldSimple w:instr=" SEQ Table \* ARABIC \s 1 ">
        <w:r>
          <w:rPr>
            <w:noProof/>
          </w:rPr>
          <w:t>6</w:t>
        </w:r>
      </w:fldSimple>
      <w:bookmarkEnd w:id="0"/>
      <w:r>
        <w:t>:  Recommended units for dissemination</w:t>
      </w:r>
      <w:bookmarkEnd w:id="1"/>
      <w:bookmarkEnd w:id="2"/>
      <w:bookmarkEnd w:id="3"/>
      <w:bookmarkEnd w:id="4"/>
      <w:bookmarkEnd w:id="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8"/>
        <w:gridCol w:w="2009"/>
        <w:gridCol w:w="3229"/>
      </w:tblGrid>
      <w:tr w:rsidR="001A1915" w:rsidRPr="00197014" w:rsidTr="002876E9">
        <w:trPr>
          <w:trHeight w:hRule="exact" w:val="288"/>
          <w:jc w:val="center"/>
        </w:trPr>
        <w:tc>
          <w:tcPr>
            <w:tcW w:w="2888" w:type="dxa"/>
          </w:tcPr>
          <w:p w:rsidR="001A1915" w:rsidRPr="00197014" w:rsidRDefault="001A1915" w:rsidP="002876E9">
            <w:pPr>
              <w:keepLines/>
              <w:rPr>
                <w:sz w:val="18"/>
                <w:szCs w:val="18"/>
              </w:rPr>
            </w:pPr>
            <w:r w:rsidRPr="00197014">
              <w:rPr>
                <w:sz w:val="18"/>
                <w:szCs w:val="18"/>
              </w:rPr>
              <w:t>Fuels</w:t>
            </w:r>
          </w:p>
        </w:tc>
        <w:tc>
          <w:tcPr>
            <w:tcW w:w="2009" w:type="dxa"/>
          </w:tcPr>
          <w:p w:rsidR="001A1915" w:rsidRPr="00197014" w:rsidRDefault="001A1915" w:rsidP="002876E9">
            <w:pPr>
              <w:keepLines/>
              <w:jc w:val="center"/>
              <w:rPr>
                <w:sz w:val="18"/>
                <w:szCs w:val="18"/>
              </w:rPr>
            </w:pPr>
            <w:r w:rsidRPr="00197014">
              <w:rPr>
                <w:sz w:val="18"/>
                <w:szCs w:val="18"/>
              </w:rPr>
              <w:t>Dimension</w:t>
            </w:r>
          </w:p>
        </w:tc>
        <w:tc>
          <w:tcPr>
            <w:tcW w:w="3229" w:type="dxa"/>
          </w:tcPr>
          <w:p w:rsidR="001A1915" w:rsidRPr="00197014" w:rsidRDefault="001A1915" w:rsidP="002876E9">
            <w:pPr>
              <w:keepLines/>
              <w:jc w:val="center"/>
              <w:rPr>
                <w:sz w:val="18"/>
                <w:szCs w:val="18"/>
              </w:rPr>
            </w:pPr>
            <w:r w:rsidRPr="00197014">
              <w:rPr>
                <w:sz w:val="18"/>
                <w:szCs w:val="18"/>
              </w:rPr>
              <w:t>Unit</w:t>
            </w:r>
          </w:p>
        </w:tc>
      </w:tr>
      <w:tr w:rsidR="001A1915" w:rsidRPr="00197014" w:rsidTr="002876E9">
        <w:trPr>
          <w:trHeight w:hRule="exact" w:val="288"/>
          <w:jc w:val="center"/>
        </w:trPr>
        <w:tc>
          <w:tcPr>
            <w:tcW w:w="2888" w:type="dxa"/>
            <w:tcBorders>
              <w:bottom w:val="nil"/>
              <w:right w:val="nil"/>
            </w:tcBorders>
          </w:tcPr>
          <w:p w:rsidR="001A1915" w:rsidRPr="00197014" w:rsidRDefault="001A1915" w:rsidP="002876E9">
            <w:pPr>
              <w:keepLines/>
              <w:rPr>
                <w:sz w:val="18"/>
                <w:szCs w:val="18"/>
              </w:rPr>
            </w:pPr>
            <w:r w:rsidRPr="00197014">
              <w:rPr>
                <w:sz w:val="18"/>
                <w:szCs w:val="18"/>
              </w:rPr>
              <w:t>Solid fossil fuels</w:t>
            </w:r>
          </w:p>
        </w:tc>
        <w:tc>
          <w:tcPr>
            <w:tcW w:w="2009" w:type="dxa"/>
            <w:tcBorders>
              <w:left w:val="nil"/>
              <w:bottom w:val="nil"/>
              <w:right w:val="nil"/>
            </w:tcBorders>
          </w:tcPr>
          <w:p w:rsidR="001A1915" w:rsidRPr="00197014" w:rsidRDefault="001A1915" w:rsidP="002876E9">
            <w:pPr>
              <w:keepLines/>
              <w:rPr>
                <w:sz w:val="18"/>
                <w:szCs w:val="18"/>
              </w:rPr>
            </w:pPr>
            <w:r w:rsidRPr="00197014">
              <w:rPr>
                <w:sz w:val="18"/>
                <w:szCs w:val="18"/>
              </w:rPr>
              <w:t>Mass</w:t>
            </w:r>
          </w:p>
        </w:tc>
        <w:tc>
          <w:tcPr>
            <w:tcW w:w="3229" w:type="dxa"/>
            <w:tcBorders>
              <w:left w:val="nil"/>
              <w:bottom w:val="nil"/>
            </w:tcBorders>
          </w:tcPr>
          <w:p w:rsidR="001A1915" w:rsidRPr="00197014" w:rsidRDefault="001A1915" w:rsidP="002876E9">
            <w:pPr>
              <w:keepLines/>
              <w:rPr>
                <w:sz w:val="18"/>
                <w:szCs w:val="18"/>
              </w:rPr>
            </w:pPr>
            <w:r w:rsidRPr="00197014">
              <w:rPr>
                <w:sz w:val="18"/>
                <w:szCs w:val="18"/>
              </w:rPr>
              <w:t>Thousand tons</w:t>
            </w:r>
          </w:p>
        </w:tc>
      </w:tr>
      <w:tr w:rsidR="001A1915" w:rsidRPr="00197014" w:rsidTr="002876E9">
        <w:trPr>
          <w:trHeight w:hRule="exact" w:val="288"/>
          <w:jc w:val="center"/>
        </w:trPr>
        <w:tc>
          <w:tcPr>
            <w:tcW w:w="2888" w:type="dxa"/>
            <w:tcBorders>
              <w:top w:val="nil"/>
              <w:bottom w:val="nil"/>
              <w:right w:val="nil"/>
            </w:tcBorders>
          </w:tcPr>
          <w:p w:rsidR="001A1915" w:rsidRPr="00197014" w:rsidRDefault="001A1915" w:rsidP="002876E9">
            <w:pPr>
              <w:keepLines/>
              <w:rPr>
                <w:sz w:val="18"/>
                <w:szCs w:val="18"/>
              </w:rPr>
            </w:pPr>
            <w:r w:rsidRPr="00197014">
              <w:rPr>
                <w:sz w:val="18"/>
                <w:szCs w:val="18"/>
              </w:rPr>
              <w:t xml:space="preserve">Liquid fossil fuels </w:t>
            </w:r>
          </w:p>
        </w:tc>
        <w:tc>
          <w:tcPr>
            <w:tcW w:w="2009" w:type="dxa"/>
            <w:tcBorders>
              <w:top w:val="nil"/>
              <w:left w:val="nil"/>
              <w:bottom w:val="nil"/>
              <w:right w:val="nil"/>
            </w:tcBorders>
          </w:tcPr>
          <w:p w:rsidR="001A1915" w:rsidRPr="00197014" w:rsidRDefault="001A1915" w:rsidP="002876E9">
            <w:pPr>
              <w:keepLines/>
              <w:rPr>
                <w:sz w:val="18"/>
                <w:szCs w:val="18"/>
              </w:rPr>
            </w:pPr>
            <w:r w:rsidRPr="00197014">
              <w:rPr>
                <w:sz w:val="18"/>
                <w:szCs w:val="18"/>
              </w:rPr>
              <w:t>Mass</w:t>
            </w:r>
          </w:p>
        </w:tc>
        <w:tc>
          <w:tcPr>
            <w:tcW w:w="3229" w:type="dxa"/>
            <w:tcBorders>
              <w:top w:val="nil"/>
              <w:left w:val="nil"/>
              <w:bottom w:val="nil"/>
            </w:tcBorders>
          </w:tcPr>
          <w:p w:rsidR="001A1915" w:rsidRPr="00197014" w:rsidRDefault="001A1915" w:rsidP="002876E9">
            <w:pPr>
              <w:keepLines/>
              <w:rPr>
                <w:sz w:val="18"/>
                <w:szCs w:val="18"/>
              </w:rPr>
            </w:pPr>
            <w:r w:rsidRPr="00197014">
              <w:rPr>
                <w:sz w:val="18"/>
                <w:szCs w:val="18"/>
              </w:rPr>
              <w:t>Thousand tons</w:t>
            </w:r>
          </w:p>
        </w:tc>
      </w:tr>
      <w:tr w:rsidR="001A1915" w:rsidRPr="00197014" w:rsidTr="002876E9">
        <w:trPr>
          <w:trHeight w:hRule="exact" w:val="288"/>
          <w:jc w:val="center"/>
        </w:trPr>
        <w:tc>
          <w:tcPr>
            <w:tcW w:w="2888" w:type="dxa"/>
            <w:tcBorders>
              <w:top w:val="nil"/>
              <w:bottom w:val="nil"/>
              <w:right w:val="nil"/>
            </w:tcBorders>
          </w:tcPr>
          <w:p w:rsidR="001A1915" w:rsidRPr="00197014" w:rsidRDefault="001A1915" w:rsidP="002876E9">
            <w:pPr>
              <w:keepLines/>
              <w:rPr>
                <w:sz w:val="18"/>
                <w:szCs w:val="18"/>
              </w:rPr>
            </w:pPr>
            <w:r w:rsidRPr="00197014">
              <w:rPr>
                <w:sz w:val="18"/>
                <w:szCs w:val="18"/>
              </w:rPr>
              <w:t>(Liquid) Biofuels</w:t>
            </w:r>
          </w:p>
        </w:tc>
        <w:tc>
          <w:tcPr>
            <w:tcW w:w="2009" w:type="dxa"/>
            <w:tcBorders>
              <w:top w:val="nil"/>
              <w:left w:val="nil"/>
              <w:bottom w:val="nil"/>
              <w:right w:val="nil"/>
            </w:tcBorders>
          </w:tcPr>
          <w:p w:rsidR="001A1915" w:rsidRPr="00197014" w:rsidRDefault="001A1915" w:rsidP="002876E9">
            <w:pPr>
              <w:keepLines/>
              <w:rPr>
                <w:sz w:val="18"/>
                <w:szCs w:val="18"/>
              </w:rPr>
            </w:pPr>
            <w:r w:rsidRPr="00197014">
              <w:rPr>
                <w:sz w:val="18"/>
                <w:szCs w:val="18"/>
              </w:rPr>
              <w:t>Mass/Volume</w:t>
            </w:r>
          </w:p>
        </w:tc>
        <w:tc>
          <w:tcPr>
            <w:tcW w:w="3229" w:type="dxa"/>
            <w:tcBorders>
              <w:top w:val="nil"/>
              <w:left w:val="nil"/>
              <w:bottom w:val="nil"/>
            </w:tcBorders>
          </w:tcPr>
          <w:p w:rsidR="001A1915" w:rsidRPr="00197014" w:rsidRDefault="001A1915" w:rsidP="002876E9">
            <w:pPr>
              <w:keepLines/>
              <w:rPr>
                <w:sz w:val="18"/>
                <w:szCs w:val="18"/>
                <w:lang w:val="en-US"/>
              </w:rPr>
            </w:pPr>
            <w:r w:rsidRPr="00197014">
              <w:rPr>
                <w:sz w:val="18"/>
                <w:szCs w:val="18"/>
                <w:lang w:val="en-US"/>
              </w:rPr>
              <w:t>Thousand tons/ Thousand cubic metres</w:t>
            </w:r>
          </w:p>
        </w:tc>
      </w:tr>
      <w:tr w:rsidR="001A1915" w:rsidRPr="00197014" w:rsidTr="002876E9">
        <w:trPr>
          <w:trHeight w:hRule="exact" w:val="288"/>
          <w:jc w:val="center"/>
        </w:trPr>
        <w:tc>
          <w:tcPr>
            <w:tcW w:w="2888" w:type="dxa"/>
            <w:tcBorders>
              <w:top w:val="nil"/>
              <w:bottom w:val="nil"/>
              <w:right w:val="nil"/>
            </w:tcBorders>
          </w:tcPr>
          <w:p w:rsidR="001A1915" w:rsidRPr="00197014" w:rsidRDefault="001A1915" w:rsidP="002876E9">
            <w:pPr>
              <w:keepLines/>
              <w:rPr>
                <w:sz w:val="18"/>
                <w:szCs w:val="18"/>
              </w:rPr>
            </w:pPr>
            <w:r w:rsidRPr="00197014">
              <w:rPr>
                <w:sz w:val="18"/>
                <w:szCs w:val="18"/>
              </w:rPr>
              <w:t>Gases</w:t>
            </w:r>
          </w:p>
        </w:tc>
        <w:tc>
          <w:tcPr>
            <w:tcW w:w="2009" w:type="dxa"/>
            <w:tcBorders>
              <w:top w:val="nil"/>
              <w:left w:val="nil"/>
              <w:bottom w:val="nil"/>
              <w:right w:val="nil"/>
            </w:tcBorders>
          </w:tcPr>
          <w:p w:rsidR="001A1915" w:rsidRPr="00197014" w:rsidRDefault="001A1915" w:rsidP="002876E9">
            <w:pPr>
              <w:keepLines/>
              <w:rPr>
                <w:sz w:val="18"/>
                <w:szCs w:val="18"/>
              </w:rPr>
            </w:pPr>
            <w:r w:rsidRPr="00197014">
              <w:rPr>
                <w:sz w:val="18"/>
                <w:szCs w:val="18"/>
              </w:rPr>
              <w:t>Energy</w:t>
            </w:r>
          </w:p>
        </w:tc>
        <w:tc>
          <w:tcPr>
            <w:tcW w:w="3229" w:type="dxa"/>
            <w:tcBorders>
              <w:top w:val="nil"/>
              <w:left w:val="nil"/>
              <w:bottom w:val="nil"/>
            </w:tcBorders>
          </w:tcPr>
          <w:p w:rsidR="001A1915" w:rsidRPr="00197014" w:rsidRDefault="001A1915" w:rsidP="002876E9">
            <w:pPr>
              <w:keepLines/>
              <w:rPr>
                <w:sz w:val="18"/>
                <w:szCs w:val="18"/>
              </w:rPr>
            </w:pPr>
            <w:r w:rsidRPr="00197014">
              <w:rPr>
                <w:sz w:val="18"/>
                <w:szCs w:val="18"/>
              </w:rPr>
              <w:t>Terajoules</w:t>
            </w:r>
          </w:p>
        </w:tc>
      </w:tr>
      <w:tr w:rsidR="001A1915" w:rsidRPr="00197014" w:rsidTr="002876E9">
        <w:trPr>
          <w:trHeight w:hRule="exact" w:val="288"/>
          <w:jc w:val="center"/>
        </w:trPr>
        <w:tc>
          <w:tcPr>
            <w:tcW w:w="2888" w:type="dxa"/>
            <w:tcBorders>
              <w:top w:val="nil"/>
              <w:bottom w:val="nil"/>
              <w:right w:val="nil"/>
            </w:tcBorders>
          </w:tcPr>
          <w:p w:rsidR="001A1915" w:rsidRPr="00197014" w:rsidRDefault="001A1915" w:rsidP="002876E9">
            <w:pPr>
              <w:keepLines/>
              <w:rPr>
                <w:sz w:val="18"/>
                <w:szCs w:val="18"/>
              </w:rPr>
            </w:pPr>
            <w:r w:rsidRPr="00197014">
              <w:rPr>
                <w:sz w:val="18"/>
                <w:szCs w:val="18"/>
              </w:rPr>
              <w:t>Wastes</w:t>
            </w:r>
          </w:p>
        </w:tc>
        <w:tc>
          <w:tcPr>
            <w:tcW w:w="2009" w:type="dxa"/>
            <w:tcBorders>
              <w:top w:val="nil"/>
              <w:left w:val="nil"/>
              <w:bottom w:val="nil"/>
              <w:right w:val="nil"/>
            </w:tcBorders>
          </w:tcPr>
          <w:p w:rsidR="001A1915" w:rsidRPr="00197014" w:rsidRDefault="001A1915" w:rsidP="002876E9">
            <w:pPr>
              <w:keepLines/>
              <w:rPr>
                <w:sz w:val="18"/>
                <w:szCs w:val="18"/>
              </w:rPr>
            </w:pPr>
            <w:r w:rsidRPr="00197014">
              <w:rPr>
                <w:sz w:val="18"/>
                <w:szCs w:val="18"/>
              </w:rPr>
              <w:t>Energy</w:t>
            </w:r>
          </w:p>
        </w:tc>
        <w:tc>
          <w:tcPr>
            <w:tcW w:w="3229" w:type="dxa"/>
            <w:tcBorders>
              <w:top w:val="nil"/>
              <w:left w:val="nil"/>
              <w:bottom w:val="nil"/>
            </w:tcBorders>
          </w:tcPr>
          <w:p w:rsidR="001A1915" w:rsidRPr="00197014" w:rsidRDefault="001A1915" w:rsidP="002876E9">
            <w:pPr>
              <w:keepLines/>
              <w:rPr>
                <w:sz w:val="18"/>
                <w:szCs w:val="18"/>
              </w:rPr>
            </w:pPr>
            <w:r w:rsidRPr="00197014">
              <w:rPr>
                <w:sz w:val="18"/>
                <w:szCs w:val="18"/>
              </w:rPr>
              <w:t>Terajoules</w:t>
            </w:r>
          </w:p>
        </w:tc>
      </w:tr>
      <w:tr w:rsidR="001A1915" w:rsidRPr="00197014" w:rsidTr="002876E9">
        <w:trPr>
          <w:trHeight w:hRule="exact" w:val="405"/>
          <w:jc w:val="center"/>
        </w:trPr>
        <w:tc>
          <w:tcPr>
            <w:tcW w:w="2888" w:type="dxa"/>
            <w:tcBorders>
              <w:top w:val="nil"/>
              <w:bottom w:val="nil"/>
              <w:right w:val="nil"/>
            </w:tcBorders>
          </w:tcPr>
          <w:p w:rsidR="001A1915" w:rsidRPr="00197014" w:rsidRDefault="001A1915" w:rsidP="002876E9">
            <w:pPr>
              <w:keepLines/>
              <w:rPr>
                <w:sz w:val="18"/>
                <w:szCs w:val="18"/>
              </w:rPr>
            </w:pPr>
            <w:r w:rsidRPr="00197014">
              <w:rPr>
                <w:sz w:val="18"/>
                <w:szCs w:val="18"/>
              </w:rPr>
              <w:t>Fuelwood</w:t>
            </w:r>
          </w:p>
        </w:tc>
        <w:tc>
          <w:tcPr>
            <w:tcW w:w="2009" w:type="dxa"/>
            <w:tcBorders>
              <w:top w:val="nil"/>
              <w:left w:val="nil"/>
              <w:bottom w:val="nil"/>
              <w:right w:val="nil"/>
            </w:tcBorders>
          </w:tcPr>
          <w:p w:rsidR="001A1915" w:rsidRPr="00197014" w:rsidRDefault="001A1915" w:rsidP="002876E9">
            <w:pPr>
              <w:keepLines/>
              <w:rPr>
                <w:sz w:val="18"/>
                <w:szCs w:val="18"/>
              </w:rPr>
            </w:pPr>
            <w:r w:rsidRPr="00197014">
              <w:rPr>
                <w:sz w:val="18"/>
                <w:szCs w:val="18"/>
              </w:rPr>
              <w:t>Volume/Mass</w:t>
            </w:r>
          </w:p>
          <w:p w:rsidR="001A1915" w:rsidRPr="00197014" w:rsidRDefault="001A1915" w:rsidP="002876E9">
            <w:pPr>
              <w:keepLines/>
              <w:rPr>
                <w:sz w:val="18"/>
                <w:szCs w:val="18"/>
              </w:rPr>
            </w:pPr>
            <w:r w:rsidRPr="00197014">
              <w:rPr>
                <w:sz w:val="18"/>
                <w:szCs w:val="18"/>
              </w:rPr>
              <w:t xml:space="preserve">Energy </w:t>
            </w:r>
          </w:p>
        </w:tc>
        <w:tc>
          <w:tcPr>
            <w:tcW w:w="3229" w:type="dxa"/>
            <w:tcBorders>
              <w:top w:val="nil"/>
              <w:left w:val="nil"/>
              <w:bottom w:val="nil"/>
            </w:tcBorders>
          </w:tcPr>
          <w:p w:rsidR="001A1915" w:rsidRPr="00197014" w:rsidRDefault="001A1915" w:rsidP="002876E9">
            <w:pPr>
              <w:keepLines/>
              <w:rPr>
                <w:sz w:val="18"/>
                <w:szCs w:val="18"/>
              </w:rPr>
            </w:pPr>
            <w:r w:rsidRPr="00197014">
              <w:rPr>
                <w:sz w:val="18"/>
                <w:szCs w:val="18"/>
              </w:rPr>
              <w:t>Thousand cubic metres/</w:t>
            </w:r>
          </w:p>
          <w:p w:rsidR="001A1915" w:rsidRPr="00197014" w:rsidRDefault="001A1915" w:rsidP="002876E9">
            <w:pPr>
              <w:keepLines/>
              <w:rPr>
                <w:sz w:val="18"/>
                <w:szCs w:val="18"/>
              </w:rPr>
            </w:pPr>
            <w:r w:rsidRPr="00197014">
              <w:rPr>
                <w:sz w:val="18"/>
                <w:szCs w:val="18"/>
              </w:rPr>
              <w:t>Terajoules</w:t>
            </w:r>
          </w:p>
        </w:tc>
      </w:tr>
      <w:tr w:rsidR="001A1915" w:rsidRPr="00197014" w:rsidTr="002876E9">
        <w:trPr>
          <w:trHeight w:hRule="exact" w:val="288"/>
          <w:jc w:val="center"/>
        </w:trPr>
        <w:tc>
          <w:tcPr>
            <w:tcW w:w="2888" w:type="dxa"/>
            <w:tcBorders>
              <w:top w:val="nil"/>
              <w:bottom w:val="nil"/>
              <w:right w:val="nil"/>
            </w:tcBorders>
          </w:tcPr>
          <w:p w:rsidR="001A1915" w:rsidRPr="00197014" w:rsidRDefault="001A1915" w:rsidP="002876E9">
            <w:pPr>
              <w:keepLines/>
              <w:rPr>
                <w:sz w:val="18"/>
                <w:szCs w:val="18"/>
              </w:rPr>
            </w:pPr>
            <w:r w:rsidRPr="00197014">
              <w:rPr>
                <w:sz w:val="18"/>
                <w:szCs w:val="18"/>
              </w:rPr>
              <w:t>Charcoal</w:t>
            </w:r>
          </w:p>
        </w:tc>
        <w:tc>
          <w:tcPr>
            <w:tcW w:w="2009" w:type="dxa"/>
            <w:tcBorders>
              <w:top w:val="nil"/>
              <w:left w:val="nil"/>
              <w:bottom w:val="nil"/>
              <w:right w:val="nil"/>
            </w:tcBorders>
          </w:tcPr>
          <w:p w:rsidR="001A1915" w:rsidRPr="00197014" w:rsidRDefault="001A1915" w:rsidP="002876E9">
            <w:pPr>
              <w:keepLines/>
              <w:rPr>
                <w:sz w:val="18"/>
                <w:szCs w:val="18"/>
              </w:rPr>
            </w:pPr>
            <w:r w:rsidRPr="00197014">
              <w:rPr>
                <w:sz w:val="18"/>
                <w:szCs w:val="18"/>
              </w:rPr>
              <w:t>Mass</w:t>
            </w:r>
          </w:p>
        </w:tc>
        <w:tc>
          <w:tcPr>
            <w:tcW w:w="3229" w:type="dxa"/>
            <w:tcBorders>
              <w:top w:val="nil"/>
              <w:left w:val="nil"/>
              <w:bottom w:val="nil"/>
            </w:tcBorders>
          </w:tcPr>
          <w:p w:rsidR="001A1915" w:rsidRPr="00197014" w:rsidRDefault="001A1915" w:rsidP="002876E9">
            <w:pPr>
              <w:keepLines/>
              <w:rPr>
                <w:sz w:val="18"/>
                <w:szCs w:val="18"/>
              </w:rPr>
            </w:pPr>
            <w:r w:rsidRPr="00197014">
              <w:rPr>
                <w:sz w:val="18"/>
                <w:szCs w:val="18"/>
              </w:rPr>
              <w:t>Thousand tons</w:t>
            </w:r>
          </w:p>
        </w:tc>
      </w:tr>
      <w:tr w:rsidR="001A1915" w:rsidRPr="00197014" w:rsidTr="002876E9">
        <w:trPr>
          <w:trHeight w:hRule="exact" w:val="288"/>
          <w:jc w:val="center"/>
        </w:trPr>
        <w:tc>
          <w:tcPr>
            <w:tcW w:w="2888" w:type="dxa"/>
            <w:tcBorders>
              <w:top w:val="nil"/>
              <w:bottom w:val="nil"/>
              <w:right w:val="nil"/>
            </w:tcBorders>
          </w:tcPr>
          <w:p w:rsidR="001A1915" w:rsidRPr="00197014" w:rsidRDefault="001A1915" w:rsidP="002876E9">
            <w:pPr>
              <w:keepLines/>
              <w:rPr>
                <w:sz w:val="18"/>
                <w:szCs w:val="18"/>
              </w:rPr>
            </w:pPr>
            <w:r w:rsidRPr="00197014">
              <w:rPr>
                <w:sz w:val="18"/>
                <w:szCs w:val="18"/>
              </w:rPr>
              <w:t>Electricity</w:t>
            </w:r>
          </w:p>
        </w:tc>
        <w:tc>
          <w:tcPr>
            <w:tcW w:w="2009" w:type="dxa"/>
            <w:tcBorders>
              <w:top w:val="nil"/>
              <w:left w:val="nil"/>
              <w:bottom w:val="nil"/>
              <w:right w:val="nil"/>
            </w:tcBorders>
          </w:tcPr>
          <w:p w:rsidR="001A1915" w:rsidRPr="00197014" w:rsidRDefault="001A1915" w:rsidP="002876E9">
            <w:pPr>
              <w:keepLines/>
              <w:rPr>
                <w:sz w:val="18"/>
                <w:szCs w:val="18"/>
              </w:rPr>
            </w:pPr>
            <w:r w:rsidRPr="00197014">
              <w:rPr>
                <w:sz w:val="18"/>
                <w:szCs w:val="18"/>
              </w:rPr>
              <w:t>Energy (power x time)</w:t>
            </w:r>
          </w:p>
        </w:tc>
        <w:tc>
          <w:tcPr>
            <w:tcW w:w="3229" w:type="dxa"/>
            <w:tcBorders>
              <w:top w:val="nil"/>
              <w:left w:val="nil"/>
              <w:bottom w:val="nil"/>
            </w:tcBorders>
          </w:tcPr>
          <w:p w:rsidR="001A1915" w:rsidRPr="00197014" w:rsidRDefault="001A1915" w:rsidP="002876E9">
            <w:pPr>
              <w:keepLines/>
              <w:rPr>
                <w:sz w:val="18"/>
                <w:szCs w:val="18"/>
              </w:rPr>
            </w:pPr>
            <w:r w:rsidRPr="00197014">
              <w:rPr>
                <w:sz w:val="18"/>
                <w:szCs w:val="18"/>
              </w:rPr>
              <w:t>GWh</w:t>
            </w:r>
          </w:p>
        </w:tc>
      </w:tr>
      <w:tr w:rsidR="001A1915" w:rsidRPr="00197014" w:rsidTr="002876E9">
        <w:trPr>
          <w:trHeight w:hRule="exact" w:val="288"/>
          <w:jc w:val="center"/>
        </w:trPr>
        <w:tc>
          <w:tcPr>
            <w:tcW w:w="2888" w:type="dxa"/>
            <w:tcBorders>
              <w:top w:val="nil"/>
              <w:bottom w:val="nil"/>
              <w:right w:val="nil"/>
            </w:tcBorders>
          </w:tcPr>
          <w:p w:rsidR="001A1915" w:rsidRPr="00197014" w:rsidRDefault="001A1915" w:rsidP="002876E9">
            <w:pPr>
              <w:keepLines/>
              <w:rPr>
                <w:sz w:val="18"/>
                <w:szCs w:val="18"/>
              </w:rPr>
            </w:pPr>
            <w:r w:rsidRPr="00197014">
              <w:rPr>
                <w:sz w:val="18"/>
                <w:szCs w:val="18"/>
              </w:rPr>
              <w:t>Electricity installed capacity</w:t>
            </w:r>
          </w:p>
        </w:tc>
        <w:tc>
          <w:tcPr>
            <w:tcW w:w="2009" w:type="dxa"/>
            <w:tcBorders>
              <w:top w:val="nil"/>
              <w:left w:val="nil"/>
              <w:bottom w:val="nil"/>
              <w:right w:val="nil"/>
            </w:tcBorders>
          </w:tcPr>
          <w:p w:rsidR="001A1915" w:rsidRPr="00197014" w:rsidRDefault="001A1915" w:rsidP="002876E9">
            <w:pPr>
              <w:keepLines/>
              <w:rPr>
                <w:sz w:val="18"/>
                <w:szCs w:val="18"/>
              </w:rPr>
            </w:pPr>
            <w:r w:rsidRPr="00197014">
              <w:rPr>
                <w:sz w:val="18"/>
                <w:szCs w:val="18"/>
              </w:rPr>
              <w:t>Power</w:t>
            </w:r>
          </w:p>
        </w:tc>
        <w:tc>
          <w:tcPr>
            <w:tcW w:w="3229" w:type="dxa"/>
            <w:tcBorders>
              <w:top w:val="nil"/>
              <w:left w:val="nil"/>
              <w:bottom w:val="nil"/>
            </w:tcBorders>
          </w:tcPr>
          <w:p w:rsidR="001A1915" w:rsidRPr="00197014" w:rsidRDefault="001A1915" w:rsidP="002876E9">
            <w:pPr>
              <w:keepLines/>
              <w:rPr>
                <w:sz w:val="18"/>
                <w:szCs w:val="18"/>
              </w:rPr>
            </w:pPr>
            <w:r w:rsidRPr="00197014">
              <w:rPr>
                <w:sz w:val="18"/>
                <w:szCs w:val="18"/>
              </w:rPr>
              <w:t>MW</w:t>
            </w:r>
          </w:p>
        </w:tc>
      </w:tr>
      <w:tr w:rsidR="001A1915" w:rsidRPr="00197014" w:rsidTr="002876E9">
        <w:trPr>
          <w:trHeight w:hRule="exact" w:val="288"/>
          <w:jc w:val="center"/>
        </w:trPr>
        <w:tc>
          <w:tcPr>
            <w:tcW w:w="2888" w:type="dxa"/>
            <w:tcBorders>
              <w:top w:val="nil"/>
              <w:bottom w:val="nil"/>
              <w:right w:val="nil"/>
            </w:tcBorders>
          </w:tcPr>
          <w:p w:rsidR="001A1915" w:rsidRPr="00197014" w:rsidRDefault="001A1915" w:rsidP="002876E9">
            <w:pPr>
              <w:keepLines/>
              <w:rPr>
                <w:sz w:val="18"/>
                <w:szCs w:val="18"/>
              </w:rPr>
            </w:pPr>
            <w:r w:rsidRPr="00197014">
              <w:rPr>
                <w:sz w:val="18"/>
                <w:szCs w:val="18"/>
              </w:rPr>
              <w:t>Refinery capacity</w:t>
            </w:r>
          </w:p>
        </w:tc>
        <w:tc>
          <w:tcPr>
            <w:tcW w:w="2009" w:type="dxa"/>
            <w:tcBorders>
              <w:top w:val="nil"/>
              <w:left w:val="nil"/>
              <w:bottom w:val="nil"/>
              <w:right w:val="nil"/>
            </w:tcBorders>
          </w:tcPr>
          <w:p w:rsidR="001A1915" w:rsidRPr="00197014" w:rsidRDefault="001A1915" w:rsidP="002876E9">
            <w:pPr>
              <w:keepLines/>
              <w:rPr>
                <w:sz w:val="18"/>
                <w:szCs w:val="18"/>
              </w:rPr>
            </w:pPr>
            <w:r w:rsidRPr="00197014">
              <w:rPr>
                <w:sz w:val="18"/>
                <w:szCs w:val="18"/>
              </w:rPr>
              <w:t>Mass/time</w:t>
            </w:r>
          </w:p>
        </w:tc>
        <w:tc>
          <w:tcPr>
            <w:tcW w:w="3229" w:type="dxa"/>
            <w:tcBorders>
              <w:top w:val="nil"/>
              <w:left w:val="nil"/>
              <w:bottom w:val="nil"/>
            </w:tcBorders>
          </w:tcPr>
          <w:p w:rsidR="001A1915" w:rsidRPr="00197014" w:rsidRDefault="001A1915" w:rsidP="002876E9">
            <w:pPr>
              <w:keepLines/>
              <w:rPr>
                <w:sz w:val="18"/>
                <w:szCs w:val="18"/>
              </w:rPr>
            </w:pPr>
            <w:r w:rsidRPr="00197014">
              <w:rPr>
                <w:sz w:val="18"/>
                <w:szCs w:val="18"/>
              </w:rPr>
              <w:t>Thousand tons/year</w:t>
            </w:r>
          </w:p>
        </w:tc>
      </w:tr>
      <w:tr w:rsidR="001A1915" w:rsidRPr="00197014" w:rsidTr="002876E9">
        <w:trPr>
          <w:trHeight w:hRule="exact" w:val="288"/>
          <w:jc w:val="center"/>
        </w:trPr>
        <w:tc>
          <w:tcPr>
            <w:tcW w:w="2888" w:type="dxa"/>
            <w:tcBorders>
              <w:top w:val="nil"/>
              <w:bottom w:val="nil"/>
              <w:right w:val="nil"/>
            </w:tcBorders>
          </w:tcPr>
          <w:p w:rsidR="001A1915" w:rsidRPr="00197014" w:rsidRDefault="001A1915" w:rsidP="002876E9">
            <w:pPr>
              <w:keepLines/>
              <w:rPr>
                <w:sz w:val="18"/>
                <w:szCs w:val="18"/>
              </w:rPr>
            </w:pPr>
            <w:r w:rsidRPr="00197014">
              <w:rPr>
                <w:sz w:val="18"/>
                <w:szCs w:val="18"/>
              </w:rPr>
              <w:t>Heat</w:t>
            </w:r>
          </w:p>
        </w:tc>
        <w:tc>
          <w:tcPr>
            <w:tcW w:w="2009" w:type="dxa"/>
            <w:tcBorders>
              <w:top w:val="nil"/>
              <w:left w:val="nil"/>
              <w:bottom w:val="nil"/>
              <w:right w:val="nil"/>
            </w:tcBorders>
          </w:tcPr>
          <w:p w:rsidR="001A1915" w:rsidRPr="00197014" w:rsidRDefault="001A1915" w:rsidP="002876E9">
            <w:pPr>
              <w:keepLines/>
              <w:rPr>
                <w:sz w:val="18"/>
                <w:szCs w:val="18"/>
              </w:rPr>
            </w:pPr>
            <w:r w:rsidRPr="00197014">
              <w:rPr>
                <w:sz w:val="18"/>
                <w:szCs w:val="18"/>
              </w:rPr>
              <w:t>Energy</w:t>
            </w:r>
          </w:p>
        </w:tc>
        <w:tc>
          <w:tcPr>
            <w:tcW w:w="3229" w:type="dxa"/>
            <w:tcBorders>
              <w:top w:val="nil"/>
              <w:left w:val="nil"/>
              <w:bottom w:val="nil"/>
            </w:tcBorders>
          </w:tcPr>
          <w:p w:rsidR="001A1915" w:rsidRPr="00197014" w:rsidRDefault="001A1915" w:rsidP="002876E9">
            <w:pPr>
              <w:keepLines/>
              <w:rPr>
                <w:sz w:val="18"/>
                <w:szCs w:val="18"/>
              </w:rPr>
            </w:pPr>
            <w:r w:rsidRPr="00197014">
              <w:rPr>
                <w:sz w:val="18"/>
                <w:szCs w:val="18"/>
              </w:rPr>
              <w:t>Terajoules</w:t>
            </w:r>
          </w:p>
        </w:tc>
      </w:tr>
      <w:tr w:rsidR="001A1915" w:rsidRPr="00197014" w:rsidTr="002876E9">
        <w:trPr>
          <w:trHeight w:hRule="exact" w:val="288"/>
          <w:jc w:val="center"/>
        </w:trPr>
        <w:tc>
          <w:tcPr>
            <w:tcW w:w="2888" w:type="dxa"/>
            <w:tcBorders>
              <w:top w:val="nil"/>
              <w:right w:val="nil"/>
            </w:tcBorders>
          </w:tcPr>
          <w:p w:rsidR="001A1915" w:rsidRPr="00197014" w:rsidRDefault="001A1915" w:rsidP="002876E9">
            <w:pPr>
              <w:keepLines/>
              <w:rPr>
                <w:sz w:val="18"/>
                <w:szCs w:val="18"/>
              </w:rPr>
            </w:pPr>
            <w:r w:rsidRPr="00197014">
              <w:rPr>
                <w:sz w:val="18"/>
                <w:szCs w:val="18"/>
              </w:rPr>
              <w:t>Common unit (e.g., balances)</w:t>
            </w:r>
          </w:p>
        </w:tc>
        <w:tc>
          <w:tcPr>
            <w:tcW w:w="2009" w:type="dxa"/>
            <w:tcBorders>
              <w:top w:val="nil"/>
              <w:left w:val="nil"/>
              <w:right w:val="nil"/>
            </w:tcBorders>
          </w:tcPr>
          <w:p w:rsidR="001A1915" w:rsidRPr="00197014" w:rsidRDefault="001A1915" w:rsidP="002876E9">
            <w:pPr>
              <w:keepLines/>
              <w:rPr>
                <w:sz w:val="18"/>
                <w:szCs w:val="18"/>
              </w:rPr>
            </w:pPr>
            <w:r w:rsidRPr="00197014">
              <w:rPr>
                <w:sz w:val="18"/>
                <w:szCs w:val="18"/>
              </w:rPr>
              <w:t>Energy</w:t>
            </w:r>
          </w:p>
        </w:tc>
        <w:tc>
          <w:tcPr>
            <w:tcW w:w="3229" w:type="dxa"/>
            <w:tcBorders>
              <w:top w:val="nil"/>
              <w:left w:val="nil"/>
            </w:tcBorders>
          </w:tcPr>
          <w:p w:rsidR="001A1915" w:rsidRPr="00197014" w:rsidRDefault="001A1915" w:rsidP="002876E9">
            <w:pPr>
              <w:keepLines/>
              <w:rPr>
                <w:sz w:val="18"/>
                <w:szCs w:val="18"/>
              </w:rPr>
            </w:pPr>
            <w:r w:rsidRPr="00197014">
              <w:rPr>
                <w:sz w:val="18"/>
                <w:szCs w:val="18"/>
              </w:rPr>
              <w:t>Terajoules</w:t>
            </w:r>
          </w:p>
        </w:tc>
      </w:tr>
    </w:tbl>
    <w:p w:rsidR="001A1915" w:rsidRDefault="001A1915" w:rsidP="00781DBB">
      <w:pPr>
        <w:pStyle w:val="ch4"/>
        <w:numPr>
          <w:ilvl w:val="0"/>
          <w:numId w:val="0"/>
        </w:numPr>
      </w:pPr>
    </w:p>
    <w:p w:rsidR="001A1915" w:rsidRDefault="001A1915" w:rsidP="00296F76">
      <w:pPr>
        <w:ind w:left="567" w:hanging="567"/>
        <w:rPr>
          <w:lang w:val="en-US"/>
        </w:rPr>
      </w:pPr>
      <w:r>
        <w:rPr>
          <w:lang w:val="en-US"/>
        </w:rPr>
        <w:t>Why are liquid biofuels treated not in the same way like liquid fossil fuels? From my point of view none or both should be given in volume units.</w:t>
      </w:r>
    </w:p>
    <w:p w:rsidR="001A1915" w:rsidRDefault="001A1915" w:rsidP="00296F76">
      <w:pPr>
        <w:ind w:left="567" w:hanging="567"/>
        <w:rPr>
          <w:lang w:val="en-US"/>
        </w:rPr>
      </w:pPr>
      <w:r>
        <w:rPr>
          <w:lang w:val="en-US"/>
        </w:rPr>
        <w:t>Why are biofuels treated not in the same way like fuelwood and no energy units are recommended.</w:t>
      </w:r>
    </w:p>
    <w:p w:rsidR="001A1915" w:rsidRDefault="001A1915" w:rsidP="00296F76">
      <w:pPr>
        <w:ind w:left="567" w:hanging="567"/>
        <w:rPr>
          <w:lang w:val="en-US"/>
        </w:rPr>
      </w:pPr>
      <w:r>
        <w:rPr>
          <w:lang w:val="en-US"/>
        </w:rPr>
        <w:t>In case of fuelwood thousand tons are missing under Unit.</w:t>
      </w:r>
    </w:p>
    <w:p w:rsidR="001A1915" w:rsidRDefault="001A1915" w:rsidP="00296F76">
      <w:pPr>
        <w:ind w:left="567" w:hanging="567"/>
        <w:rPr>
          <w:lang w:val="en-US"/>
        </w:rPr>
      </w:pPr>
    </w:p>
    <w:p w:rsidR="001A1915" w:rsidRDefault="001A1915" w:rsidP="00296F76">
      <w:pPr>
        <w:ind w:left="567" w:hanging="567"/>
        <w:rPr>
          <w:lang w:val="en-US"/>
        </w:rPr>
      </w:pPr>
      <w:r>
        <w:rPr>
          <w:lang w:val="en-US"/>
        </w:rPr>
        <w:lastRenderedPageBreak/>
        <w:t>5.76: electricity should be eliminated as example because it leads to confusion with transformation</w:t>
      </w:r>
    </w:p>
    <w:p w:rsidR="001A1915" w:rsidRDefault="001A1915" w:rsidP="00296F76">
      <w:pPr>
        <w:ind w:left="567" w:hanging="567"/>
        <w:rPr>
          <w:lang w:val="en-US"/>
        </w:rPr>
      </w:pPr>
    </w:p>
    <w:p w:rsidR="001A1915" w:rsidRDefault="001A1915" w:rsidP="00296F76">
      <w:pPr>
        <w:ind w:left="567" w:hanging="567"/>
        <w:rPr>
          <w:lang w:val="en-US"/>
        </w:rPr>
      </w:pPr>
      <w:r>
        <w:rPr>
          <w:lang w:val="en-US"/>
        </w:rPr>
        <w:t xml:space="preserve">5.85: Are you sure you want to include trams into rail? In Austria trams are part of road transport like electric buses because their tracks are part of the road and not spatially separated. </w:t>
      </w:r>
    </w:p>
    <w:p w:rsidR="001A1915" w:rsidRDefault="001A1915" w:rsidP="00296F76">
      <w:pPr>
        <w:ind w:left="567" w:hanging="567"/>
        <w:rPr>
          <w:lang w:val="en-US"/>
        </w:rPr>
      </w:pPr>
    </w:p>
    <w:p w:rsidR="001A1915" w:rsidRDefault="001A1915" w:rsidP="00296F76">
      <w:pPr>
        <w:ind w:left="567" w:hanging="567"/>
        <w:rPr>
          <w:lang w:val="en-US"/>
        </w:rPr>
      </w:pPr>
      <w:r>
        <w:rPr>
          <w:lang w:val="en-US"/>
        </w:rPr>
        <w:t>5.87: It should be clearly mentioned that consumption of compressors used natural gas storage purposes are not included in pipeline transport.</w:t>
      </w:r>
    </w:p>
    <w:p w:rsidR="001A1915" w:rsidRDefault="001A1915" w:rsidP="00296F76">
      <w:pPr>
        <w:ind w:left="567" w:hanging="567"/>
        <w:rPr>
          <w:lang w:val="en-US"/>
        </w:rPr>
      </w:pPr>
    </w:p>
    <w:p w:rsidR="001A1915" w:rsidRDefault="001A1915" w:rsidP="00296F76">
      <w:pPr>
        <w:ind w:left="567" w:hanging="567"/>
        <w:rPr>
          <w:lang w:val="en-US"/>
        </w:rPr>
      </w:pPr>
      <w:r>
        <w:rPr>
          <w:lang w:val="en-US"/>
        </w:rPr>
        <w:t>8.18 and 11.21: instead of “– Stock changes” it must be “+/- Stock changes”</w:t>
      </w:r>
    </w:p>
    <w:p w:rsidR="001A1915" w:rsidRDefault="001A1915" w:rsidP="00296F76">
      <w:pPr>
        <w:ind w:left="567" w:hanging="567"/>
        <w:rPr>
          <w:lang w:val="en-US"/>
        </w:rPr>
      </w:pPr>
    </w:p>
    <w:p w:rsidR="001A1915" w:rsidRDefault="001A1915" w:rsidP="00296F76">
      <w:pPr>
        <w:ind w:left="567" w:hanging="567"/>
        <w:rPr>
          <w:lang w:val="en-US"/>
        </w:rPr>
      </w:pPr>
      <w:r>
        <w:rPr>
          <w:lang w:val="en-US"/>
        </w:rPr>
        <w:t xml:space="preserve">Annex A </w:t>
      </w:r>
    </w:p>
    <w:p w:rsidR="001A1915" w:rsidRDefault="001A1915" w:rsidP="00296F76">
      <w:pPr>
        <w:ind w:left="567" w:hanging="567"/>
        <w:rPr>
          <w:lang w:val="en-US"/>
        </w:rPr>
      </w:pPr>
      <w:r>
        <w:rPr>
          <w:lang w:val="en-US"/>
        </w:rPr>
        <w:t xml:space="preserve">In the overview on Page 158 under primary products </w:t>
      </w:r>
      <w:r w:rsidRPr="00064B45">
        <w:rPr>
          <w:b/>
          <w:lang w:val="en-US"/>
        </w:rPr>
        <w:t>natural gas</w:t>
      </w:r>
      <w:r>
        <w:rPr>
          <w:lang w:val="en-US"/>
        </w:rPr>
        <w:t xml:space="preserve"> is missing in case of non-renewables and </w:t>
      </w:r>
      <w:r w:rsidRPr="00064B45">
        <w:rPr>
          <w:b/>
          <w:lang w:val="en-US"/>
        </w:rPr>
        <w:t>geothermal heat</w:t>
      </w:r>
      <w:r>
        <w:rPr>
          <w:lang w:val="en-US"/>
        </w:rPr>
        <w:t xml:space="preserve"> in case of renewable</w:t>
      </w:r>
    </w:p>
    <w:p w:rsidR="001A1915" w:rsidRDefault="001A1915" w:rsidP="00296F76">
      <w:pPr>
        <w:ind w:left="567" w:hanging="567"/>
        <w:rPr>
          <w:lang w:val="en-US"/>
        </w:rPr>
      </w:pPr>
    </w:p>
    <w:tbl>
      <w:tblPr>
        <w:tblW w:w="9335" w:type="dxa"/>
        <w:tblInd w:w="93" w:type="dxa"/>
        <w:tblLook w:val="0000"/>
      </w:tblPr>
      <w:tblGrid>
        <w:gridCol w:w="615"/>
        <w:gridCol w:w="4200"/>
        <w:gridCol w:w="4520"/>
      </w:tblGrid>
      <w:tr w:rsidR="001A1915" w:rsidRPr="00197014" w:rsidTr="006E1681">
        <w:trPr>
          <w:trHeight w:val="420"/>
        </w:trPr>
        <w:tc>
          <w:tcPr>
            <w:tcW w:w="615" w:type="dxa"/>
            <w:tcBorders>
              <w:top w:val="single" w:sz="4" w:space="0" w:color="auto"/>
              <w:left w:val="single" w:sz="4" w:space="0" w:color="auto"/>
              <w:bottom w:val="single" w:sz="4" w:space="0" w:color="auto"/>
              <w:right w:val="single" w:sz="4" w:space="0" w:color="auto"/>
            </w:tcBorders>
            <w:noWrap/>
            <w:vAlign w:val="bottom"/>
          </w:tcPr>
          <w:p w:rsidR="001A1915" w:rsidRPr="00197014" w:rsidRDefault="001A1915" w:rsidP="006E1681">
            <w:pPr>
              <w:rPr>
                <w:rFonts w:eastAsia="MS Mincho"/>
                <w:sz w:val="20"/>
                <w:szCs w:val="20"/>
                <w:lang w:val="en-US" w:eastAsia="zh-TW"/>
              </w:rPr>
            </w:pPr>
            <w:r w:rsidRPr="00197014">
              <w:rPr>
                <w:rFonts w:eastAsia="MS Mincho"/>
                <w:sz w:val="20"/>
                <w:szCs w:val="20"/>
                <w:lang w:val="en-US" w:eastAsia="zh-TW"/>
              </w:rPr>
              <w:t> </w:t>
            </w:r>
          </w:p>
        </w:tc>
        <w:tc>
          <w:tcPr>
            <w:tcW w:w="4200" w:type="dxa"/>
            <w:tcBorders>
              <w:top w:val="single" w:sz="4" w:space="0" w:color="auto"/>
              <w:left w:val="nil"/>
              <w:bottom w:val="single" w:sz="4" w:space="0" w:color="auto"/>
              <w:right w:val="single" w:sz="4" w:space="0" w:color="auto"/>
            </w:tcBorders>
          </w:tcPr>
          <w:p w:rsidR="001A1915" w:rsidRPr="00197014" w:rsidRDefault="001A1915" w:rsidP="006E1681">
            <w:pPr>
              <w:rPr>
                <w:rFonts w:eastAsia="MS Mincho"/>
                <w:b/>
                <w:bCs/>
                <w:sz w:val="18"/>
                <w:szCs w:val="18"/>
                <w:lang w:val="en-US" w:eastAsia="zh-TW"/>
              </w:rPr>
            </w:pPr>
            <w:r w:rsidRPr="00197014">
              <w:rPr>
                <w:rFonts w:eastAsia="MS Mincho"/>
                <w:b/>
                <w:bCs/>
                <w:sz w:val="18"/>
                <w:szCs w:val="18"/>
                <w:lang w:eastAsia="zh-TW"/>
              </w:rPr>
              <w:t>Primary products</w:t>
            </w:r>
          </w:p>
        </w:tc>
        <w:tc>
          <w:tcPr>
            <w:tcW w:w="4520" w:type="dxa"/>
            <w:tcBorders>
              <w:top w:val="single" w:sz="4" w:space="0" w:color="auto"/>
              <w:left w:val="nil"/>
              <w:bottom w:val="single" w:sz="4" w:space="0" w:color="auto"/>
              <w:right w:val="single" w:sz="4" w:space="0" w:color="auto"/>
            </w:tcBorders>
          </w:tcPr>
          <w:p w:rsidR="001A1915" w:rsidRPr="00197014" w:rsidRDefault="001A1915" w:rsidP="006E1681">
            <w:pPr>
              <w:rPr>
                <w:rFonts w:eastAsia="MS Mincho"/>
                <w:b/>
                <w:bCs/>
                <w:color w:val="000000"/>
                <w:sz w:val="18"/>
                <w:szCs w:val="18"/>
                <w:lang w:val="en-US" w:eastAsia="zh-TW"/>
              </w:rPr>
            </w:pPr>
            <w:r w:rsidRPr="00197014">
              <w:rPr>
                <w:rFonts w:eastAsia="MS Mincho"/>
                <w:b/>
                <w:bCs/>
                <w:color w:val="000000"/>
                <w:sz w:val="18"/>
                <w:szCs w:val="18"/>
                <w:lang w:eastAsia="zh-TW"/>
              </w:rPr>
              <w:t>Secondary products</w:t>
            </w:r>
          </w:p>
        </w:tc>
      </w:tr>
      <w:tr w:rsidR="001A1915" w:rsidRPr="00197014" w:rsidTr="006E1681">
        <w:trPr>
          <w:trHeight w:val="2805"/>
        </w:trPr>
        <w:tc>
          <w:tcPr>
            <w:tcW w:w="615" w:type="dxa"/>
            <w:tcBorders>
              <w:top w:val="nil"/>
              <w:left w:val="single" w:sz="4" w:space="0" w:color="auto"/>
              <w:bottom w:val="single" w:sz="4" w:space="0" w:color="auto"/>
              <w:right w:val="single" w:sz="4" w:space="0" w:color="auto"/>
            </w:tcBorders>
            <w:noWrap/>
            <w:textDirection w:val="btLr"/>
            <w:vAlign w:val="bottom"/>
          </w:tcPr>
          <w:p w:rsidR="001A1915" w:rsidRPr="00197014" w:rsidRDefault="001A1915" w:rsidP="006E1681">
            <w:pPr>
              <w:jc w:val="center"/>
              <w:rPr>
                <w:rFonts w:eastAsia="MS Mincho"/>
                <w:b/>
                <w:bCs/>
                <w:sz w:val="20"/>
                <w:szCs w:val="20"/>
                <w:lang w:val="en-US" w:eastAsia="zh-TW"/>
              </w:rPr>
            </w:pPr>
            <w:r w:rsidRPr="00197014">
              <w:rPr>
                <w:rFonts w:eastAsia="MS Mincho"/>
                <w:b/>
                <w:bCs/>
                <w:sz w:val="20"/>
                <w:szCs w:val="20"/>
                <w:lang w:val="en-US" w:eastAsia="zh-TW"/>
              </w:rPr>
              <w:t>Non-renewables</w:t>
            </w:r>
          </w:p>
        </w:tc>
        <w:tc>
          <w:tcPr>
            <w:tcW w:w="4200" w:type="dxa"/>
            <w:tcBorders>
              <w:top w:val="nil"/>
              <w:left w:val="nil"/>
              <w:bottom w:val="single" w:sz="4" w:space="0" w:color="auto"/>
              <w:right w:val="single" w:sz="4" w:space="0" w:color="auto"/>
            </w:tcBorders>
          </w:tcPr>
          <w:p w:rsidR="001A1915" w:rsidRPr="00197014" w:rsidRDefault="001A1915" w:rsidP="006E1681">
            <w:pPr>
              <w:rPr>
                <w:rFonts w:eastAsia="MS Mincho"/>
                <w:sz w:val="20"/>
                <w:szCs w:val="20"/>
                <w:lang w:val="en-US" w:eastAsia="zh-TW"/>
              </w:rPr>
            </w:pPr>
            <w:r w:rsidRPr="00197014">
              <w:rPr>
                <w:rFonts w:eastAsia="MS Mincho"/>
                <w:sz w:val="20"/>
                <w:szCs w:val="20"/>
                <w:lang w:val="en-US" w:eastAsia="zh-TW"/>
              </w:rPr>
              <w:t>1.1.1 - Hard coal</w:t>
            </w:r>
            <w:r w:rsidRPr="00197014">
              <w:rPr>
                <w:rFonts w:eastAsia="MS Mincho"/>
                <w:sz w:val="20"/>
                <w:szCs w:val="20"/>
                <w:lang w:val="en-US" w:eastAsia="zh-TW"/>
              </w:rPr>
              <w:br/>
              <w:t>1.1.2 - Brown coal</w:t>
            </w:r>
            <w:r w:rsidRPr="00197014">
              <w:rPr>
                <w:rFonts w:eastAsia="MS Mincho"/>
                <w:sz w:val="20"/>
                <w:szCs w:val="20"/>
                <w:lang w:val="en-US" w:eastAsia="zh-TW"/>
              </w:rPr>
              <w:br/>
              <w:t>1.2.1 – Peat</w:t>
            </w:r>
            <w:r w:rsidRPr="00197014">
              <w:rPr>
                <w:rFonts w:eastAsia="MS Mincho"/>
                <w:sz w:val="20"/>
                <w:szCs w:val="20"/>
                <w:lang w:val="en-US" w:eastAsia="zh-TW"/>
              </w:rPr>
              <w:br/>
              <w:t>1.3 - Oil shale</w:t>
            </w:r>
            <w:r w:rsidRPr="00197014">
              <w:rPr>
                <w:rFonts w:eastAsia="MS Mincho"/>
                <w:sz w:val="20"/>
                <w:szCs w:val="20"/>
                <w:lang w:val="en-US" w:eastAsia="zh-TW"/>
              </w:rPr>
              <w:br/>
              <w:t>2.2.1 - Crude oil</w:t>
            </w:r>
            <w:r w:rsidRPr="00197014">
              <w:rPr>
                <w:rFonts w:eastAsia="MS Mincho"/>
                <w:sz w:val="20"/>
                <w:szCs w:val="20"/>
                <w:lang w:val="en-US" w:eastAsia="zh-TW"/>
              </w:rPr>
              <w:br/>
              <w:t>2.2.2 - Natural gas liquids (NGL)</w:t>
            </w:r>
            <w:r w:rsidRPr="00197014">
              <w:rPr>
                <w:rFonts w:eastAsia="MS Mincho"/>
                <w:sz w:val="20"/>
                <w:szCs w:val="20"/>
                <w:lang w:val="en-US" w:eastAsia="zh-TW"/>
              </w:rPr>
              <w:br/>
              <w:t>2.2.4 – Additives and oxygenates</w:t>
            </w:r>
            <w:r w:rsidRPr="00197014">
              <w:rPr>
                <w:rFonts w:eastAsia="MS Mincho"/>
                <w:sz w:val="20"/>
                <w:szCs w:val="20"/>
                <w:lang w:val="en-US" w:eastAsia="zh-TW"/>
              </w:rPr>
              <w:br/>
              <w:t>4.2.1 - Industrial waste</w:t>
            </w:r>
            <w:r w:rsidRPr="00197014">
              <w:rPr>
                <w:rFonts w:eastAsia="MS Mincho"/>
                <w:sz w:val="20"/>
                <w:szCs w:val="20"/>
                <w:lang w:val="en-US" w:eastAsia="zh-TW"/>
              </w:rPr>
              <w:br/>
              <w:t>part of 4.2.2 - Municipal waste</w:t>
            </w:r>
            <w:r w:rsidRPr="00197014">
              <w:rPr>
                <w:rFonts w:eastAsia="MS Mincho"/>
                <w:sz w:val="20"/>
                <w:szCs w:val="20"/>
                <w:lang w:val="en-US" w:eastAsia="zh-TW"/>
              </w:rPr>
              <w:br/>
              <w:t>Nuclear Heat</w:t>
            </w:r>
          </w:p>
        </w:tc>
        <w:tc>
          <w:tcPr>
            <w:tcW w:w="4520" w:type="dxa"/>
            <w:tcBorders>
              <w:top w:val="nil"/>
              <w:left w:val="nil"/>
              <w:bottom w:val="single" w:sz="4" w:space="0" w:color="auto"/>
              <w:right w:val="single" w:sz="4" w:space="0" w:color="auto"/>
            </w:tcBorders>
          </w:tcPr>
          <w:p w:rsidR="001A1915" w:rsidRPr="00197014" w:rsidRDefault="001A1915" w:rsidP="006E1681">
            <w:pPr>
              <w:rPr>
                <w:rFonts w:eastAsia="MS Mincho"/>
                <w:sz w:val="20"/>
                <w:szCs w:val="20"/>
                <w:lang w:val="en-US" w:eastAsia="zh-TW"/>
              </w:rPr>
            </w:pPr>
            <w:r w:rsidRPr="00197014">
              <w:rPr>
                <w:rFonts w:eastAsia="MS Mincho"/>
                <w:sz w:val="20"/>
                <w:szCs w:val="20"/>
                <w:lang w:val="en-US" w:eastAsia="zh-TW"/>
              </w:rPr>
              <w:t>1.1.3 – Derived  coal products</w:t>
            </w:r>
            <w:r w:rsidRPr="00197014">
              <w:rPr>
                <w:rFonts w:eastAsia="MS Mincho"/>
                <w:sz w:val="20"/>
                <w:szCs w:val="20"/>
                <w:lang w:val="en-US" w:eastAsia="zh-TW"/>
              </w:rPr>
              <w:br/>
            </w:r>
            <w:r w:rsidRPr="00197014">
              <w:rPr>
                <w:rFonts w:eastAsia="MS Mincho"/>
                <w:sz w:val="20"/>
                <w:szCs w:val="20"/>
                <w:lang w:val="en-US" w:eastAsia="zh-TW"/>
              </w:rPr>
              <w:br/>
              <w:t>1.2.3 – Peat Briquettes</w:t>
            </w:r>
            <w:r w:rsidRPr="00197014">
              <w:rPr>
                <w:rFonts w:eastAsia="MS Mincho"/>
                <w:sz w:val="20"/>
                <w:szCs w:val="20"/>
                <w:lang w:val="en-US" w:eastAsia="zh-TW"/>
              </w:rPr>
              <w:br/>
            </w:r>
            <w:r w:rsidRPr="00197014">
              <w:rPr>
                <w:rFonts w:eastAsia="MS Mincho"/>
                <w:sz w:val="20"/>
                <w:szCs w:val="20"/>
                <w:lang w:val="en-US" w:eastAsia="zh-TW"/>
              </w:rPr>
              <w:br/>
              <w:t>2.2.3 - Refinery feedstocks</w:t>
            </w:r>
            <w:r w:rsidRPr="00197014">
              <w:rPr>
                <w:rFonts w:eastAsia="MS Mincho"/>
                <w:sz w:val="20"/>
                <w:szCs w:val="20"/>
                <w:lang w:val="en-US" w:eastAsia="zh-TW"/>
              </w:rPr>
              <w:br/>
              <w:t>2.2.5 – Derived oil products</w:t>
            </w:r>
            <w:r w:rsidRPr="00197014">
              <w:rPr>
                <w:rFonts w:eastAsia="MS Mincho"/>
                <w:sz w:val="20"/>
                <w:szCs w:val="20"/>
                <w:lang w:val="en-US" w:eastAsia="zh-TW"/>
              </w:rPr>
              <w:br/>
            </w:r>
            <w:r w:rsidRPr="00197014">
              <w:rPr>
                <w:rFonts w:eastAsia="MS Mincho"/>
                <w:sz w:val="20"/>
                <w:szCs w:val="20"/>
                <w:lang w:val="en-US" w:eastAsia="zh-TW"/>
              </w:rPr>
              <w:br/>
            </w:r>
            <w:r w:rsidRPr="00197014">
              <w:rPr>
                <w:rFonts w:eastAsia="MS Mincho"/>
                <w:sz w:val="20"/>
                <w:szCs w:val="20"/>
                <w:lang w:val="en-US" w:eastAsia="zh-TW"/>
              </w:rPr>
              <w:br/>
              <w:t>Electricity from combusted fuels and nuclear fuels</w:t>
            </w:r>
            <w:r w:rsidRPr="00197014">
              <w:rPr>
                <w:rFonts w:eastAsia="MS Mincho"/>
                <w:sz w:val="20"/>
                <w:szCs w:val="20"/>
                <w:lang w:val="en-US" w:eastAsia="zh-TW"/>
              </w:rPr>
              <w:br/>
              <w:t>Any other product derived from primary/secondary products</w:t>
            </w:r>
          </w:p>
        </w:tc>
      </w:tr>
      <w:tr w:rsidR="001A1915" w:rsidRPr="00197014" w:rsidTr="006E1681">
        <w:trPr>
          <w:trHeight w:val="1455"/>
        </w:trPr>
        <w:tc>
          <w:tcPr>
            <w:tcW w:w="615" w:type="dxa"/>
            <w:tcBorders>
              <w:top w:val="nil"/>
              <w:left w:val="single" w:sz="4" w:space="0" w:color="auto"/>
              <w:bottom w:val="single" w:sz="4" w:space="0" w:color="auto"/>
              <w:right w:val="single" w:sz="4" w:space="0" w:color="auto"/>
            </w:tcBorders>
            <w:noWrap/>
            <w:textDirection w:val="btLr"/>
            <w:vAlign w:val="bottom"/>
          </w:tcPr>
          <w:p w:rsidR="001A1915" w:rsidRPr="00197014" w:rsidRDefault="001A1915" w:rsidP="006E1681">
            <w:pPr>
              <w:jc w:val="center"/>
              <w:rPr>
                <w:rFonts w:eastAsia="MS Mincho"/>
                <w:b/>
                <w:bCs/>
                <w:sz w:val="20"/>
                <w:szCs w:val="20"/>
                <w:lang w:val="en-US" w:eastAsia="zh-TW"/>
              </w:rPr>
            </w:pPr>
            <w:r w:rsidRPr="00197014">
              <w:rPr>
                <w:rFonts w:eastAsia="MS Mincho"/>
                <w:b/>
                <w:bCs/>
                <w:sz w:val="20"/>
                <w:szCs w:val="20"/>
                <w:lang w:val="en-US" w:eastAsia="zh-TW"/>
              </w:rPr>
              <w:t>Renewables</w:t>
            </w:r>
          </w:p>
        </w:tc>
        <w:tc>
          <w:tcPr>
            <w:tcW w:w="4200" w:type="dxa"/>
            <w:tcBorders>
              <w:top w:val="nil"/>
              <w:left w:val="nil"/>
              <w:bottom w:val="single" w:sz="4" w:space="0" w:color="auto"/>
              <w:right w:val="single" w:sz="4" w:space="0" w:color="auto"/>
            </w:tcBorders>
          </w:tcPr>
          <w:p w:rsidR="001A1915" w:rsidRPr="00197014" w:rsidRDefault="001A1915" w:rsidP="006E1681">
            <w:pPr>
              <w:rPr>
                <w:rFonts w:eastAsia="MS Mincho"/>
                <w:sz w:val="20"/>
                <w:szCs w:val="20"/>
                <w:lang w:val="en-US" w:eastAsia="zh-TW"/>
              </w:rPr>
            </w:pPr>
            <w:r w:rsidRPr="00197014">
              <w:rPr>
                <w:rFonts w:eastAsia="MS Mincho"/>
                <w:sz w:val="20"/>
                <w:szCs w:val="20"/>
                <w:lang w:val="en-US" w:eastAsia="zh-TW"/>
              </w:rPr>
              <w:t>4 - Biofuels and waste (except charcoal, industrial waste and part of Municipal waste)</w:t>
            </w:r>
            <w:r w:rsidRPr="00197014">
              <w:rPr>
                <w:rFonts w:eastAsia="MS Mincho"/>
                <w:sz w:val="20"/>
                <w:szCs w:val="20"/>
                <w:lang w:val="en-US" w:eastAsia="zh-TW"/>
              </w:rPr>
              <w:br/>
            </w:r>
            <w:r w:rsidRPr="00197014">
              <w:rPr>
                <w:rFonts w:eastAsia="MS Mincho"/>
                <w:sz w:val="20"/>
                <w:szCs w:val="20"/>
                <w:lang w:val="en-US" w:eastAsia="zh-TW"/>
              </w:rPr>
              <w:br/>
              <w:t>Electricity and heat from renewable sources</w:t>
            </w:r>
          </w:p>
        </w:tc>
        <w:tc>
          <w:tcPr>
            <w:tcW w:w="4520" w:type="dxa"/>
            <w:tcBorders>
              <w:top w:val="nil"/>
              <w:left w:val="nil"/>
              <w:bottom w:val="single" w:sz="4" w:space="0" w:color="auto"/>
              <w:right w:val="single" w:sz="4" w:space="0" w:color="auto"/>
            </w:tcBorders>
          </w:tcPr>
          <w:p w:rsidR="001A1915" w:rsidRPr="00197014" w:rsidRDefault="001A1915" w:rsidP="006E1681">
            <w:pPr>
              <w:rPr>
                <w:rFonts w:eastAsia="MS Mincho"/>
                <w:sz w:val="20"/>
                <w:szCs w:val="20"/>
                <w:lang w:val="en-US" w:eastAsia="zh-TW"/>
              </w:rPr>
            </w:pPr>
            <w:r w:rsidRPr="00197014">
              <w:rPr>
                <w:rFonts w:eastAsia="MS Mincho"/>
                <w:sz w:val="20"/>
                <w:szCs w:val="20"/>
                <w:lang w:val="en-US" w:eastAsia="zh-TW"/>
              </w:rPr>
              <w:t>4.1.1.4 - Charcoal</w:t>
            </w:r>
            <w:r w:rsidRPr="00197014">
              <w:rPr>
                <w:rFonts w:eastAsia="MS Mincho"/>
                <w:sz w:val="20"/>
                <w:szCs w:val="20"/>
                <w:lang w:val="en-US" w:eastAsia="zh-TW"/>
              </w:rPr>
              <w:br/>
            </w:r>
            <w:r w:rsidRPr="00197014">
              <w:rPr>
                <w:rFonts w:eastAsia="MS Mincho"/>
                <w:sz w:val="20"/>
                <w:szCs w:val="20"/>
                <w:lang w:val="en-US" w:eastAsia="zh-TW"/>
              </w:rPr>
              <w:br/>
            </w:r>
            <w:r w:rsidRPr="00197014">
              <w:rPr>
                <w:rFonts w:eastAsia="MS Mincho"/>
                <w:sz w:val="20"/>
                <w:szCs w:val="20"/>
                <w:lang w:val="en-US" w:eastAsia="zh-TW"/>
              </w:rPr>
              <w:br/>
              <w:t>Any other product derived from primary/secondary products</w:t>
            </w:r>
          </w:p>
        </w:tc>
      </w:tr>
    </w:tbl>
    <w:p w:rsidR="001A1915" w:rsidRDefault="001A1915" w:rsidP="00172C83">
      <w:pPr>
        <w:rPr>
          <w:lang w:val="en-US"/>
        </w:rPr>
      </w:pPr>
    </w:p>
    <w:p w:rsidR="001A1915" w:rsidRPr="00A40F89" w:rsidRDefault="001A1915" w:rsidP="00296F76">
      <w:pPr>
        <w:ind w:left="567" w:hanging="567"/>
        <w:rPr>
          <w:lang w:val="en-US"/>
        </w:rPr>
      </w:pPr>
    </w:p>
    <w:sectPr w:rsidR="001A1915" w:rsidRPr="00A40F89" w:rsidSect="00114733">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B25A1B"/>
    <w:multiLevelType w:val="multilevel"/>
    <w:tmpl w:val="A6208702"/>
    <w:lvl w:ilvl="0">
      <w:start w:val="1"/>
      <w:numFmt w:val="decimal"/>
      <w:pStyle w:val="ch3"/>
      <w:lvlText w:val="3.%1"/>
      <w:lvlJc w:val="left"/>
      <w:pPr>
        <w:tabs>
          <w:tab w:val="num" w:pos="720"/>
        </w:tabs>
      </w:pPr>
      <w:rPr>
        <w:rFonts w:cs="Times New Roman" w:hint="default"/>
        <w:color w:val="auto"/>
      </w:rPr>
    </w:lvl>
    <w:lvl w:ilvl="1">
      <w:start w:val="1"/>
      <w:numFmt w:val="decimal"/>
      <w:lvlText w:val="%1.%2."/>
      <w:lvlJc w:val="left"/>
      <w:pPr>
        <w:tabs>
          <w:tab w:val="num" w:pos="540"/>
        </w:tabs>
        <w:ind w:left="-180"/>
      </w:pPr>
      <w:rPr>
        <w:rFonts w:cs="Times New Roman" w:hint="default"/>
        <w:color w:val="auto"/>
      </w:rPr>
    </w:lvl>
    <w:lvl w:ilvl="2">
      <w:start w:val="1"/>
      <w:numFmt w:val="decimal"/>
      <w:lvlText w:val="%1.%2.%3."/>
      <w:lvlJc w:val="left"/>
      <w:pPr>
        <w:tabs>
          <w:tab w:val="num" w:pos="540"/>
        </w:tabs>
        <w:ind w:left="540" w:hanging="720"/>
      </w:pPr>
      <w:rPr>
        <w:rFonts w:cs="Times New Roman" w:hint="default"/>
      </w:rPr>
    </w:lvl>
    <w:lvl w:ilvl="3">
      <w:start w:val="1"/>
      <w:numFmt w:val="decimal"/>
      <w:lvlText w:val="%1.%2.%3.%4."/>
      <w:lvlJc w:val="left"/>
      <w:pPr>
        <w:tabs>
          <w:tab w:val="num" w:pos="540"/>
        </w:tabs>
        <w:ind w:left="540" w:hanging="720"/>
      </w:pPr>
      <w:rPr>
        <w:rFonts w:cs="Times New Roman" w:hint="default"/>
      </w:rPr>
    </w:lvl>
    <w:lvl w:ilvl="4">
      <w:start w:val="1"/>
      <w:numFmt w:val="decimal"/>
      <w:lvlText w:val="%1.%2.%3.%4.%5."/>
      <w:lvlJc w:val="left"/>
      <w:pPr>
        <w:tabs>
          <w:tab w:val="num" w:pos="900"/>
        </w:tabs>
        <w:ind w:left="900" w:hanging="1080"/>
      </w:pPr>
      <w:rPr>
        <w:rFonts w:cs="Times New Roman" w:hint="default"/>
      </w:rPr>
    </w:lvl>
    <w:lvl w:ilvl="5">
      <w:start w:val="1"/>
      <w:numFmt w:val="decimal"/>
      <w:lvlText w:val="%1.%2.%3.%4.%5.%6."/>
      <w:lvlJc w:val="left"/>
      <w:pPr>
        <w:tabs>
          <w:tab w:val="num" w:pos="900"/>
        </w:tabs>
        <w:ind w:left="900" w:hanging="1080"/>
      </w:pPr>
      <w:rPr>
        <w:rFonts w:cs="Times New Roman" w:hint="default"/>
      </w:rPr>
    </w:lvl>
    <w:lvl w:ilvl="6">
      <w:start w:val="1"/>
      <w:numFmt w:val="decimal"/>
      <w:lvlText w:val="%1.%2.%3.%4.%5.%6.%7."/>
      <w:lvlJc w:val="left"/>
      <w:pPr>
        <w:tabs>
          <w:tab w:val="num" w:pos="1260"/>
        </w:tabs>
        <w:ind w:left="1260" w:hanging="1440"/>
      </w:pPr>
      <w:rPr>
        <w:rFonts w:cs="Times New Roman" w:hint="default"/>
      </w:rPr>
    </w:lvl>
    <w:lvl w:ilvl="7">
      <w:start w:val="1"/>
      <w:numFmt w:val="decimal"/>
      <w:lvlText w:val="%1.%2.%3.%4.%5.%6.%7.%8."/>
      <w:lvlJc w:val="left"/>
      <w:pPr>
        <w:tabs>
          <w:tab w:val="num" w:pos="1260"/>
        </w:tabs>
        <w:ind w:left="1260" w:hanging="1440"/>
      </w:pPr>
      <w:rPr>
        <w:rFonts w:cs="Times New Roman" w:hint="default"/>
      </w:rPr>
    </w:lvl>
    <w:lvl w:ilvl="8">
      <w:start w:val="1"/>
      <w:numFmt w:val="decimal"/>
      <w:lvlText w:val="%1.%2.%3.%4.%5.%6.%7.%8.%9."/>
      <w:lvlJc w:val="left"/>
      <w:pPr>
        <w:tabs>
          <w:tab w:val="num" w:pos="1620"/>
        </w:tabs>
        <w:ind w:left="1620" w:hanging="1800"/>
      </w:pPr>
      <w:rPr>
        <w:rFonts w:cs="Times New Roman" w:hint="default"/>
      </w:rPr>
    </w:lvl>
  </w:abstractNum>
  <w:abstractNum w:abstractNumId="1">
    <w:nsid w:val="54603384"/>
    <w:multiLevelType w:val="multilevel"/>
    <w:tmpl w:val="0F429A3C"/>
    <w:lvl w:ilvl="0">
      <w:start w:val="1"/>
      <w:numFmt w:val="decimal"/>
      <w:pStyle w:val="ch4"/>
      <w:lvlText w:val="4.%1."/>
      <w:lvlJc w:val="left"/>
      <w:pPr>
        <w:tabs>
          <w:tab w:val="num" w:pos="900"/>
        </w:tabs>
        <w:ind w:left="180"/>
      </w:pPr>
      <w:rPr>
        <w:rFonts w:cs="Times New Roman" w:hint="default"/>
        <w:b w:val="0"/>
        <w:bCs/>
        <w:color w:val="auto"/>
      </w:rPr>
    </w:lvl>
    <w:lvl w:ilvl="1">
      <w:start w:val="1"/>
      <w:numFmt w:val="decimal"/>
      <w:lvlText w:val="%1.%2."/>
      <w:lvlJc w:val="left"/>
      <w:pPr>
        <w:tabs>
          <w:tab w:val="num" w:pos="720"/>
        </w:tabs>
      </w:pPr>
      <w:rPr>
        <w:rFonts w:cs="Times New Roman" w:hint="default"/>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296F76"/>
    <w:rsid w:val="00064B45"/>
    <w:rsid w:val="000D1EFF"/>
    <w:rsid w:val="00114733"/>
    <w:rsid w:val="00172C83"/>
    <w:rsid w:val="00197014"/>
    <w:rsid w:val="001A1915"/>
    <w:rsid w:val="001D0949"/>
    <w:rsid w:val="002274A1"/>
    <w:rsid w:val="002876E9"/>
    <w:rsid w:val="00296F76"/>
    <w:rsid w:val="002A16FB"/>
    <w:rsid w:val="002B2448"/>
    <w:rsid w:val="005C7236"/>
    <w:rsid w:val="006E1681"/>
    <w:rsid w:val="00713BA7"/>
    <w:rsid w:val="00716575"/>
    <w:rsid w:val="007806A2"/>
    <w:rsid w:val="00781DBB"/>
    <w:rsid w:val="007C51AD"/>
    <w:rsid w:val="008A3885"/>
    <w:rsid w:val="008B5E4E"/>
    <w:rsid w:val="00A40F89"/>
    <w:rsid w:val="00B55B0C"/>
    <w:rsid w:val="00C47472"/>
    <w:rsid w:val="00D02054"/>
    <w:rsid w:val="00E41BE2"/>
    <w:rsid w:val="00F376BD"/>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nb-NO" w:eastAsia="nb-N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575"/>
    <w:rPr>
      <w:rFonts w:ascii="Arial" w:hAnsi="Arial"/>
      <w:lang w:val="de-AT"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3">
    <w:name w:val="ch3"/>
    <w:basedOn w:val="Normal"/>
    <w:link w:val="ch3Char1"/>
    <w:uiPriority w:val="99"/>
    <w:rsid w:val="007806A2"/>
    <w:pPr>
      <w:numPr>
        <w:numId w:val="1"/>
      </w:numPr>
      <w:spacing w:after="120" w:line="276" w:lineRule="auto"/>
      <w:jc w:val="both"/>
    </w:pPr>
    <w:rPr>
      <w:rFonts w:ascii="Times New Roman" w:eastAsia="Times New Roman" w:hAnsi="Times New Roman"/>
      <w:sz w:val="24"/>
      <w:szCs w:val="24"/>
      <w:lang w:val="en-US"/>
    </w:rPr>
  </w:style>
  <w:style w:type="character" w:customStyle="1" w:styleId="ch3Char1">
    <w:name w:val="ch3 Char1"/>
    <w:basedOn w:val="DefaultParagraphFont"/>
    <w:link w:val="ch3"/>
    <w:uiPriority w:val="99"/>
    <w:locked/>
    <w:rsid w:val="007806A2"/>
    <w:rPr>
      <w:rFonts w:ascii="Times New Roman" w:hAnsi="Times New Roman" w:cs="Times New Roman"/>
      <w:sz w:val="24"/>
      <w:szCs w:val="24"/>
      <w:lang w:val="en-US"/>
    </w:rPr>
  </w:style>
  <w:style w:type="paragraph" w:styleId="Caption">
    <w:name w:val="caption"/>
    <w:basedOn w:val="Normal"/>
    <w:next w:val="Normal"/>
    <w:link w:val="CaptionChar"/>
    <w:uiPriority w:val="99"/>
    <w:qFormat/>
    <w:rsid w:val="00781DBB"/>
    <w:pPr>
      <w:spacing w:after="120" w:line="276" w:lineRule="auto"/>
      <w:jc w:val="center"/>
    </w:pPr>
    <w:rPr>
      <w:rFonts w:ascii="Times New Roman" w:eastAsia="Times New Roman" w:hAnsi="Times New Roman"/>
      <w:b/>
      <w:bCs/>
      <w:sz w:val="24"/>
      <w:szCs w:val="20"/>
      <w:lang w:val="en-GB"/>
    </w:rPr>
  </w:style>
  <w:style w:type="paragraph" w:customStyle="1" w:styleId="ch4">
    <w:name w:val="ch4"/>
    <w:basedOn w:val="Normal"/>
    <w:link w:val="ch4Char1"/>
    <w:uiPriority w:val="99"/>
    <w:rsid w:val="00781DBB"/>
    <w:pPr>
      <w:numPr>
        <w:numId w:val="2"/>
      </w:numPr>
      <w:spacing w:after="130" w:line="276" w:lineRule="auto"/>
      <w:ind w:left="0"/>
      <w:jc w:val="both"/>
    </w:pPr>
    <w:rPr>
      <w:rFonts w:ascii="Times New Roman" w:eastAsia="Times New Roman" w:hAnsi="Times New Roman"/>
      <w:sz w:val="24"/>
      <w:lang w:val="en-GB" w:eastAsia="fr-FR"/>
    </w:rPr>
  </w:style>
  <w:style w:type="character" w:customStyle="1" w:styleId="ch4Char1">
    <w:name w:val="ch4 Char1"/>
    <w:basedOn w:val="DefaultParagraphFont"/>
    <w:link w:val="ch4"/>
    <w:uiPriority w:val="99"/>
    <w:locked/>
    <w:rsid w:val="00781DBB"/>
    <w:rPr>
      <w:rFonts w:ascii="Times New Roman" w:hAnsi="Times New Roman" w:cs="Times New Roman"/>
      <w:sz w:val="24"/>
      <w:lang w:val="en-GB" w:eastAsia="fr-FR"/>
    </w:rPr>
  </w:style>
  <w:style w:type="character" w:customStyle="1" w:styleId="CaptionChar">
    <w:name w:val="Caption Char"/>
    <w:basedOn w:val="DefaultParagraphFont"/>
    <w:link w:val="Caption"/>
    <w:uiPriority w:val="99"/>
    <w:locked/>
    <w:rsid w:val="00781DBB"/>
    <w:rPr>
      <w:rFonts w:ascii="Times New Roman" w:hAnsi="Times New Roman" w:cs="Times New Roman"/>
      <w:b/>
      <w:bCs/>
      <w:sz w:val="20"/>
      <w:szCs w:val="20"/>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540</Words>
  <Characters>3078</Characters>
  <Application>Microsoft Office Word</Application>
  <DocSecurity>4</DocSecurity>
  <Lines>25</Lines>
  <Paragraphs>7</Paragraphs>
  <ScaleCrop>false</ScaleCrop>
  <Company>Statistik Austria</Company>
  <LinksUpToDate>false</LinksUpToDate>
  <CharactersWithSpaces>3611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list of abbreviations used should be added at the end</dc:title>
  <dc:creator>bitter$</dc:creator>
  <cp:lastModifiedBy>gravjac</cp:lastModifiedBy>
  <cp:revision>2</cp:revision>
  <dcterms:created xsi:type="dcterms:W3CDTF">2013-11-07T20:04:00Z</dcterms:created>
  <dcterms:modified xsi:type="dcterms:W3CDTF">2013-11-07T20:04:00Z</dcterms:modified>
</cp:coreProperties>
</file>